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西北师范大学</w:t>
      </w:r>
      <w:r>
        <w:rPr>
          <w:rFonts w:hint="eastAsia"/>
          <w:b/>
          <w:bCs/>
          <w:sz w:val="32"/>
          <w:szCs w:val="32"/>
          <w:lang w:val="en-US" w:eastAsia="zh-CN"/>
        </w:rPr>
        <w:t>旅游学院</w:t>
      </w:r>
      <w:r>
        <w:rPr>
          <w:b/>
          <w:bCs/>
          <w:sz w:val="32"/>
          <w:szCs w:val="32"/>
        </w:rPr>
        <w:t>研究生中期考核管理办法</w:t>
      </w:r>
    </w:p>
    <w:p/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根据教育部《关于进一步改进和加强研究生工作的若干意见》和《西北师范大学硕士研究生培养基本要求》等文件精神，为加强研究生培养过程管理，完善研究生培养的竞争和激励机制，提高研究生的培养质量，特制定本管理办法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一、考核对象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全日制在读硕士研究生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非全日制</w:t>
      </w:r>
      <w:r>
        <w:rPr>
          <w:rFonts w:hint="eastAsia"/>
          <w:sz w:val="28"/>
          <w:szCs w:val="28"/>
          <w:lang w:val="en-US" w:eastAsia="zh-CN"/>
        </w:rPr>
        <w:t>专业硕士</w:t>
      </w:r>
      <w:r>
        <w:rPr>
          <w:sz w:val="28"/>
          <w:szCs w:val="28"/>
        </w:rPr>
        <w:t>研究生。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二、考核时间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原则上，三年制硕士研究生在入校后第四学期，两年制硕士研究生在入校后第二学期。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b/>
          <w:bCs/>
          <w:sz w:val="28"/>
          <w:szCs w:val="28"/>
        </w:rPr>
        <w:t>三、考核内容及标准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见附件 1。有以下情况之一者中期考核直接为不适宜继续培养：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t>政治思想及学习品质评为不合格者。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sz w:val="28"/>
          <w:szCs w:val="28"/>
        </w:rPr>
        <w:t>学位（毕业）论文开题报告未通过或明显缺乏科研能力者。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sz w:val="28"/>
          <w:szCs w:val="28"/>
        </w:rPr>
        <w:t>硕士生有两门必修课不合格，经补考后仍不合格。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sz w:val="28"/>
          <w:szCs w:val="28"/>
        </w:rPr>
        <w:t>考试作弊或剽窃他人研究成果，影响恶劣者。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sz w:val="28"/>
          <w:szCs w:val="28"/>
        </w:rPr>
        <w:t>无故不参加中期考核者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sz w:val="28"/>
          <w:szCs w:val="28"/>
        </w:rPr>
        <w:t>研究生中期考核工作小组根据考核结果，认为不宜继续培养者。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四、组织领导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学院成立研究生中期考核工作小组，负责本学院研究生中期考核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考核工作小组由主管研究生工作的院领导、学科带头人、部分研究生导师和任课教师、研究生秘书组成。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研究生应填写《西北师范大学研究生中期考核登记表》，在考核前 1 周交中期考核工作小组成员审阅。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中期考核汇总表交由研究生院备案。考核结果分为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种： 通过、延期重审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</w:rPr>
        <w:t>不适宜继续培养。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五、研究生中期考核处理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t>研究生已通过中期考核，可进入学位论文研究工作阶段；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sz w:val="28"/>
          <w:szCs w:val="28"/>
        </w:rPr>
        <w:t>凡延期重审</w:t>
      </w:r>
      <w:r>
        <w:rPr>
          <w:rFonts w:hint="eastAsia"/>
          <w:sz w:val="28"/>
          <w:szCs w:val="28"/>
          <w:lang w:val="en-US" w:eastAsia="zh-CN"/>
        </w:rPr>
        <w:t>还不</w:t>
      </w:r>
      <w:r>
        <w:rPr>
          <w:sz w:val="28"/>
          <w:szCs w:val="28"/>
        </w:rPr>
        <w:t>通过的研究生，须顺延推迟申请论文答辩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  <w:lang w:val="en-US" w:eastAsia="zh-CN"/>
        </w:rPr>
        <w:t>至少半年。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sz w:val="28"/>
          <w:szCs w:val="28"/>
        </w:rPr>
        <w:t>不宜继续培养的硕士生，</w:t>
      </w:r>
      <w:r>
        <w:rPr>
          <w:rFonts w:hint="eastAsia"/>
          <w:sz w:val="28"/>
          <w:szCs w:val="28"/>
          <w:lang w:val="en-US" w:eastAsia="zh-CN"/>
        </w:rPr>
        <w:t>学院上报学校，由</w:t>
      </w:r>
      <w:r>
        <w:rPr>
          <w:sz w:val="28"/>
          <w:szCs w:val="28"/>
        </w:rPr>
        <w:t>学校视具体情况按肄业或结业办理；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b/>
          <w:bCs/>
          <w:sz w:val="28"/>
          <w:szCs w:val="28"/>
        </w:rPr>
        <w:t>六、本暂行办法从印发之日起施行，由</w:t>
      </w:r>
      <w:r>
        <w:rPr>
          <w:rFonts w:hint="eastAsia"/>
          <w:b/>
          <w:bCs/>
          <w:sz w:val="28"/>
          <w:szCs w:val="28"/>
          <w:lang w:val="en-US" w:eastAsia="zh-CN"/>
        </w:rPr>
        <w:t>学院党政联系会</w:t>
      </w:r>
      <w:r>
        <w:rPr>
          <w:b/>
          <w:bCs/>
          <w:sz w:val="28"/>
          <w:szCs w:val="28"/>
        </w:rPr>
        <w:t>负责解释。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附件 1：西北师范大学研究生中期考核指标体系</w:t>
      </w:r>
    </w:p>
    <w:p>
      <w:pPr>
        <w:spacing w:line="360" w:lineRule="auto"/>
        <w:sectPr>
          <w:footerReference r:id="rId3" w:type="default"/>
          <w:pgSz w:w="11910" w:h="16840"/>
          <w:pgMar w:top="1500" w:right="1260" w:bottom="1160" w:left="1480" w:header="0" w:footer="968" w:gutter="0"/>
          <w:cols w:space="720" w:num="1"/>
        </w:sectPr>
      </w:pPr>
    </w:p>
    <w:p>
      <w:pPr>
        <w:pStyle w:val="8"/>
        <w:spacing w:after="26"/>
        <w:ind w:left="3386" w:right="3386"/>
      </w:pPr>
      <w:r>
        <w:t>附件 1：西北师范大学研究生中期考核指标体系</w:t>
      </w:r>
    </w:p>
    <w:tbl>
      <w:tblPr>
        <w:tblStyle w:val="7"/>
        <w:tblW w:w="14117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4342"/>
        <w:gridCol w:w="7513"/>
        <w:gridCol w:w="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66" w:type="dxa"/>
          </w:tcPr>
          <w:p>
            <w:pPr>
              <w:pStyle w:val="11"/>
              <w:spacing w:before="81" w:line="299" w:lineRule="exact"/>
              <w:ind w:left="20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一级指标</w:t>
            </w:r>
          </w:p>
        </w:tc>
        <w:tc>
          <w:tcPr>
            <w:tcW w:w="4342" w:type="dxa"/>
          </w:tcPr>
          <w:p>
            <w:pPr>
              <w:pStyle w:val="11"/>
              <w:spacing w:before="81" w:line="299" w:lineRule="exact"/>
              <w:ind w:left="1356" w:right="13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二级指标</w:t>
            </w:r>
          </w:p>
        </w:tc>
        <w:tc>
          <w:tcPr>
            <w:tcW w:w="7513" w:type="dxa"/>
          </w:tcPr>
          <w:p>
            <w:pPr>
              <w:pStyle w:val="11"/>
              <w:spacing w:before="81" w:line="299" w:lineRule="exact"/>
              <w:ind w:left="3256" w:right="3247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考核内容</w:t>
            </w:r>
          </w:p>
        </w:tc>
        <w:tc>
          <w:tcPr>
            <w:tcW w:w="896" w:type="dxa"/>
          </w:tcPr>
          <w:p>
            <w:pPr>
              <w:pStyle w:val="11"/>
              <w:spacing w:before="81" w:line="299" w:lineRule="exact"/>
              <w:ind w:left="186" w:right="17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6" w:type="dxa"/>
            <w:vMerge w:val="restart"/>
          </w:tcPr>
          <w:p>
            <w:pPr>
              <w:pStyle w:val="11"/>
              <w:spacing w:before="140" w:line="355" w:lineRule="auto"/>
              <w:ind w:left="261" w:right="142" w:hanging="10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政治思想及</w:t>
            </w:r>
            <w:r>
              <w:rPr>
                <w:b/>
                <w:sz w:val="21"/>
              </w:rPr>
              <w:t>学习品质</w:t>
            </w: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1"/>
              <w:spacing w:before="3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rFonts w:ascii="Times New Roman" w:eastAsia="Times New Roman"/>
                <w:b/>
                <w:sz w:val="21"/>
              </w:rPr>
              <w:t>10</w:t>
            </w:r>
            <w:r>
              <w:rPr>
                <w:rFonts w:ascii="Times New Roman" w:eastAsia="Times New Roman"/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分）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4342" w:type="dxa"/>
          </w:tcPr>
          <w:p>
            <w:pPr>
              <w:pStyle w:val="11"/>
              <w:spacing w:before="15"/>
              <w:rPr>
                <w:rFonts w:ascii="华文中宋"/>
                <w:b/>
                <w:sz w:val="13"/>
              </w:rPr>
            </w:pPr>
          </w:p>
          <w:p>
            <w:pPr>
              <w:pStyle w:val="11"/>
              <w:ind w:left="1465" w:right="1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政治学习及活动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1.参加政治学习和各项集体活动的积极性；对党的各项方针政策理解程度；遵纪</w:t>
            </w:r>
          </w:p>
          <w:p>
            <w:pPr>
              <w:pStyle w:val="11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守法情况；2.自觉遵守研究生管理制度。</w:t>
            </w:r>
          </w:p>
        </w:tc>
        <w:tc>
          <w:tcPr>
            <w:tcW w:w="896" w:type="dxa"/>
          </w:tcPr>
          <w:p>
            <w:pPr>
              <w:pStyle w:val="11"/>
              <w:spacing w:before="13"/>
              <w:rPr>
                <w:rFonts w:ascii="华文中宋"/>
                <w:b/>
                <w:sz w:val="14"/>
              </w:rPr>
            </w:pPr>
          </w:p>
          <w:p>
            <w:pPr>
              <w:pStyle w:val="11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</w:tcPr>
          <w:p>
            <w:pPr>
              <w:pStyle w:val="11"/>
              <w:spacing w:before="15"/>
              <w:rPr>
                <w:rFonts w:ascii="华文中宋"/>
                <w:b/>
                <w:sz w:val="13"/>
              </w:rPr>
            </w:pPr>
          </w:p>
          <w:p>
            <w:pPr>
              <w:pStyle w:val="11"/>
              <w:ind w:left="1465" w:right="1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学习目的和态度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1.学习目的明确，学习态度认真，主动获取知识的能力与进取精神的情况；2.积</w:t>
            </w:r>
          </w:p>
          <w:p>
            <w:pPr>
              <w:pStyle w:val="11"/>
              <w:spacing w:before="43"/>
              <w:ind w:left="108" w:right="-15"/>
              <w:rPr>
                <w:sz w:val="21"/>
              </w:rPr>
            </w:pPr>
            <w:r>
              <w:rPr>
                <w:spacing w:val="-10"/>
                <w:sz w:val="21"/>
              </w:rPr>
              <w:t>极倡导实事求是的科学精神，维护学术道德，坚持严谨、科学、自律的治学态度。</w:t>
            </w:r>
          </w:p>
        </w:tc>
        <w:tc>
          <w:tcPr>
            <w:tcW w:w="896" w:type="dxa"/>
          </w:tcPr>
          <w:p>
            <w:pPr>
              <w:pStyle w:val="11"/>
              <w:spacing w:before="13"/>
              <w:rPr>
                <w:rFonts w:ascii="华文中宋"/>
                <w:b/>
                <w:sz w:val="14"/>
              </w:rPr>
            </w:pPr>
          </w:p>
          <w:p>
            <w:pPr>
              <w:pStyle w:val="11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66" w:type="dxa"/>
          </w:tcPr>
          <w:p>
            <w:pPr>
              <w:pStyle w:val="11"/>
              <w:spacing w:before="111"/>
              <w:ind w:left="261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健康状况</w:t>
            </w:r>
            <w:r>
              <w:rPr>
                <w:b/>
                <w:spacing w:val="-1"/>
                <w:w w:val="99"/>
                <w:sz w:val="21"/>
              </w:rPr>
              <w:t xml:space="preserve"> </w:t>
            </w:r>
          </w:p>
          <w:p>
            <w:pPr>
              <w:pStyle w:val="11"/>
              <w:spacing w:before="132"/>
              <w:ind w:left="232"/>
              <w:rPr>
                <w:b/>
                <w:sz w:val="21"/>
              </w:rPr>
            </w:pPr>
            <w:r>
              <w:rPr>
                <w:b/>
                <w:sz w:val="21"/>
              </w:rPr>
              <w:t>（10</w:t>
            </w:r>
            <w:r>
              <w:rPr>
                <w:b/>
                <w:spacing w:val="-27"/>
                <w:sz w:val="21"/>
              </w:rPr>
              <w:t xml:space="preserve"> 分</w:t>
            </w:r>
            <w:r>
              <w:rPr>
                <w:b/>
                <w:sz w:val="21"/>
              </w:rPr>
              <w:t>）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4342" w:type="dxa"/>
          </w:tcPr>
          <w:p>
            <w:pPr>
              <w:pStyle w:val="11"/>
              <w:spacing w:before="1" w:line="400" w:lineRule="exact"/>
              <w:ind w:left="107" w:right="-15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健康不仅仅是没有疾病和不虚弱状态，而是身</w:t>
            </w:r>
            <w:r>
              <w:rPr>
                <w:b/>
                <w:spacing w:val="-11"/>
                <w:sz w:val="21"/>
              </w:rPr>
              <w:t>体、心理和研究适应能力上三方面的完美状态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111"/>
              <w:ind w:left="108" w:right="-15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5"/>
                <w:sz w:val="21"/>
              </w:rPr>
              <w:t>身体健康；</w:t>
            </w:r>
            <w:r>
              <w:rPr>
                <w:spacing w:val="-12"/>
                <w:sz w:val="21"/>
              </w:rPr>
              <w:t>2</w:t>
            </w:r>
            <w:r>
              <w:rPr>
                <w:spacing w:val="-7"/>
                <w:sz w:val="21"/>
              </w:rPr>
              <w:t>.人格完整；</w:t>
            </w:r>
            <w:r>
              <w:rPr>
                <w:spacing w:val="-12"/>
                <w:sz w:val="21"/>
              </w:rPr>
              <w:t>3</w:t>
            </w:r>
            <w:r>
              <w:rPr>
                <w:spacing w:val="-6"/>
                <w:sz w:val="21"/>
              </w:rPr>
              <w:t>.乐于交流；</w:t>
            </w:r>
            <w:r>
              <w:rPr>
                <w:spacing w:val="-12"/>
                <w:sz w:val="21"/>
              </w:rPr>
              <w:t>4</w:t>
            </w:r>
            <w:r>
              <w:rPr>
                <w:spacing w:val="-6"/>
                <w:sz w:val="21"/>
              </w:rPr>
              <w:t>.人际良好；</w:t>
            </w:r>
            <w:r>
              <w:rPr>
                <w:spacing w:val="-12"/>
                <w:sz w:val="21"/>
              </w:rPr>
              <w:t>5</w:t>
            </w:r>
            <w:r>
              <w:rPr>
                <w:spacing w:val="-7"/>
                <w:sz w:val="21"/>
              </w:rPr>
              <w:t>.情绪稳定；</w:t>
            </w:r>
            <w:r>
              <w:rPr>
                <w:spacing w:val="-12"/>
                <w:sz w:val="21"/>
              </w:rPr>
              <w:t>6.</w:t>
            </w:r>
            <w:r>
              <w:rPr>
                <w:spacing w:val="-2"/>
                <w:sz w:val="21"/>
              </w:rPr>
              <w:t>乐观开朗；</w:t>
            </w:r>
          </w:p>
          <w:p>
            <w:pPr>
              <w:pStyle w:val="11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7.行为协调；8.积极进取。</w:t>
            </w:r>
          </w:p>
        </w:tc>
        <w:tc>
          <w:tcPr>
            <w:tcW w:w="896" w:type="dxa"/>
          </w:tcPr>
          <w:p>
            <w:pPr>
              <w:pStyle w:val="11"/>
              <w:spacing w:before="7"/>
              <w:rPr>
                <w:rFonts w:ascii="华文中宋"/>
                <w:b/>
                <w:sz w:val="20"/>
              </w:rPr>
            </w:pPr>
          </w:p>
          <w:p>
            <w:pPr>
              <w:pStyle w:val="11"/>
              <w:ind w:left="186" w:right="1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66" w:type="dxa"/>
            <w:vMerge w:val="restart"/>
          </w:tcPr>
          <w:p>
            <w:pPr>
              <w:pStyle w:val="11"/>
              <w:rPr>
                <w:rFonts w:ascii="华文中宋"/>
                <w:b/>
                <w:sz w:val="20"/>
              </w:rPr>
            </w:pPr>
          </w:p>
          <w:p>
            <w:pPr>
              <w:pStyle w:val="11"/>
              <w:spacing w:before="178"/>
              <w:ind w:left="261"/>
              <w:rPr>
                <w:b/>
                <w:sz w:val="21"/>
              </w:rPr>
            </w:pPr>
            <w:r>
              <w:rPr>
                <w:b/>
                <w:sz w:val="21"/>
              </w:rPr>
              <w:t>课程学习</w:t>
            </w:r>
          </w:p>
          <w:p>
            <w:pPr>
              <w:pStyle w:val="11"/>
              <w:spacing w:before="131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rFonts w:ascii="Times New Roman" w:eastAsia="Times New Roman"/>
                <w:b/>
                <w:sz w:val="21"/>
              </w:rPr>
              <w:t>25</w:t>
            </w:r>
            <w:r>
              <w:rPr>
                <w:rFonts w:ascii="Times New Roman" w:eastAsia="Times New Roman"/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分）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4342" w:type="dxa"/>
          </w:tcPr>
          <w:p>
            <w:pPr>
              <w:pStyle w:val="11"/>
              <w:spacing w:before="47" w:line="400" w:lineRule="atLeast"/>
              <w:ind w:left="1643" w:right="1315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基础理论与专门知识的掌握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22" w:line="278" w:lineRule="auto"/>
              <w:ind w:left="108" w:right="27"/>
              <w:rPr>
                <w:sz w:val="21"/>
              </w:rPr>
            </w:pPr>
            <w:r>
              <w:rPr>
                <w:sz w:val="21"/>
              </w:rPr>
              <w:t>1.较好地掌握本专业坚实宽广的基础理论和系统深入的专门知识；2.了解和掌握本学科领域国内外最新研究成果；3.有必要的相关学科知识面；4.所修课程成绩</w:t>
            </w:r>
          </w:p>
          <w:p>
            <w:pPr>
              <w:pStyle w:val="11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良好，学分达到培养方案要求。</w:t>
            </w:r>
          </w:p>
        </w:tc>
        <w:tc>
          <w:tcPr>
            <w:tcW w:w="896" w:type="dxa"/>
          </w:tcPr>
          <w:p>
            <w:pPr>
              <w:pStyle w:val="11"/>
              <w:spacing w:before="10"/>
              <w:rPr>
                <w:rFonts w:ascii="华文中宋"/>
                <w:b/>
                <w:sz w:val="24"/>
              </w:rPr>
            </w:pPr>
          </w:p>
          <w:p>
            <w:pPr>
              <w:pStyle w:val="11"/>
              <w:spacing w:before="1"/>
              <w:ind w:left="186" w:right="1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</w:tcPr>
          <w:p>
            <w:pPr>
              <w:pStyle w:val="11"/>
              <w:spacing w:before="15"/>
              <w:rPr>
                <w:rFonts w:ascii="华文中宋"/>
                <w:b/>
                <w:sz w:val="13"/>
              </w:rPr>
            </w:pPr>
          </w:p>
          <w:p>
            <w:pPr>
              <w:pStyle w:val="11"/>
              <w:ind w:left="1465" w:right="1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外国语水平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1.第一外国语能熟练地阅读本专业的外文资料，具有一定的写作、听说能力；2.</w:t>
            </w:r>
          </w:p>
          <w:p>
            <w:pPr>
              <w:pStyle w:val="11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选修第二外国语，能阅读本专业外文资料。</w:t>
            </w:r>
          </w:p>
        </w:tc>
        <w:tc>
          <w:tcPr>
            <w:tcW w:w="896" w:type="dxa"/>
          </w:tcPr>
          <w:p>
            <w:pPr>
              <w:pStyle w:val="11"/>
              <w:spacing w:before="13"/>
              <w:rPr>
                <w:rFonts w:ascii="华文中宋"/>
                <w:b/>
                <w:sz w:val="14"/>
              </w:rPr>
            </w:pPr>
          </w:p>
          <w:p>
            <w:pPr>
              <w:pStyle w:val="11"/>
              <w:ind w:left="186" w:right="1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366" w:type="dxa"/>
            <w:vMerge w:val="restart"/>
          </w:tcPr>
          <w:p>
            <w:pPr>
              <w:pStyle w:val="11"/>
              <w:rPr>
                <w:rFonts w:ascii="华文中宋"/>
                <w:b/>
                <w:sz w:val="20"/>
              </w:rPr>
            </w:pPr>
          </w:p>
          <w:p>
            <w:pPr>
              <w:pStyle w:val="11"/>
              <w:rPr>
                <w:rFonts w:ascii="华文中宋"/>
                <w:b/>
                <w:sz w:val="20"/>
              </w:rPr>
            </w:pPr>
          </w:p>
          <w:p>
            <w:pPr>
              <w:pStyle w:val="11"/>
              <w:spacing w:before="10"/>
              <w:rPr>
                <w:rFonts w:ascii="华文中宋"/>
                <w:b/>
                <w:sz w:val="29"/>
              </w:rPr>
            </w:pPr>
          </w:p>
          <w:p>
            <w:pPr>
              <w:pStyle w:val="11"/>
              <w:ind w:left="261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学位论文</w:t>
            </w:r>
            <w:r>
              <w:rPr>
                <w:b/>
                <w:spacing w:val="-1"/>
                <w:w w:val="99"/>
                <w:sz w:val="21"/>
              </w:rPr>
              <w:t xml:space="preserve"> </w:t>
            </w:r>
          </w:p>
          <w:p>
            <w:pPr>
              <w:pStyle w:val="11"/>
              <w:spacing w:before="132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rFonts w:ascii="Times New Roman" w:eastAsia="Times New Roman"/>
                <w:b/>
                <w:sz w:val="21"/>
              </w:rPr>
              <w:t>35</w:t>
            </w:r>
            <w:r>
              <w:rPr>
                <w:rFonts w:ascii="Times New Roman" w:eastAsia="Times New Roman"/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分）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4342" w:type="dxa"/>
          </w:tcPr>
          <w:p>
            <w:pPr>
              <w:pStyle w:val="11"/>
              <w:spacing w:before="12"/>
              <w:rPr>
                <w:rFonts w:ascii="华文中宋"/>
                <w:b/>
                <w:sz w:val="23"/>
              </w:rPr>
            </w:pPr>
          </w:p>
          <w:p>
            <w:pPr>
              <w:pStyle w:val="11"/>
              <w:ind w:left="1465" w:right="1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论文选题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22" w:line="278" w:lineRule="auto"/>
              <w:ind w:left="108" w:right="91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8"/>
                <w:sz w:val="21"/>
              </w:rPr>
              <w:t>选题正确，接近本学科前沿，研究方向明确，有较高的理论意义和现实意义或</w:t>
            </w:r>
            <w:r>
              <w:rPr>
                <w:spacing w:val="-4"/>
                <w:sz w:val="21"/>
              </w:rPr>
              <w:t>实用价值</w:t>
            </w:r>
            <w:r>
              <w:rPr>
                <w:sz w:val="21"/>
              </w:rPr>
              <w:t>；2.论文的创新性（新领域；新视角；新方法；原创性等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1"/>
                <w:sz w:val="21"/>
              </w:rPr>
              <w:t>；</w:t>
            </w:r>
            <w:r>
              <w:rPr>
                <w:sz w:val="21"/>
              </w:rPr>
              <w:t>3.</w:t>
            </w:r>
            <w:r>
              <w:rPr>
                <w:spacing w:val="-6"/>
                <w:sz w:val="21"/>
              </w:rPr>
              <w:t>能结合</w:t>
            </w:r>
          </w:p>
          <w:p>
            <w:pPr>
              <w:pStyle w:val="11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本人的专业研究方向和导师专长。</w:t>
            </w:r>
          </w:p>
        </w:tc>
        <w:tc>
          <w:tcPr>
            <w:tcW w:w="896" w:type="dxa"/>
          </w:tcPr>
          <w:p>
            <w:pPr>
              <w:pStyle w:val="11"/>
              <w:spacing w:before="10"/>
              <w:rPr>
                <w:rFonts w:ascii="华文中宋"/>
                <w:b/>
                <w:sz w:val="24"/>
              </w:rPr>
            </w:pPr>
          </w:p>
          <w:p>
            <w:pPr>
              <w:pStyle w:val="11"/>
              <w:spacing w:before="1"/>
              <w:ind w:left="186" w:right="1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</w:tcPr>
          <w:p>
            <w:pPr>
              <w:pStyle w:val="11"/>
              <w:spacing w:before="9"/>
              <w:rPr>
                <w:rFonts w:ascii="华文中宋"/>
                <w:b/>
                <w:sz w:val="19"/>
              </w:rPr>
            </w:pPr>
          </w:p>
          <w:p>
            <w:pPr>
              <w:pStyle w:val="11"/>
              <w:ind w:left="1465" w:right="1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文献综述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1" w:line="400" w:lineRule="exact"/>
              <w:ind w:left="108" w:right="-15"/>
              <w:rPr>
                <w:sz w:val="21"/>
              </w:rPr>
            </w:pPr>
            <w:r>
              <w:rPr>
                <w:spacing w:val="-13"/>
                <w:sz w:val="21"/>
              </w:rPr>
              <w:t>阅读文献面广，对该学科及相关领域的发展状况和动态的综合性、系统性，归纳、</w:t>
            </w:r>
            <w:r>
              <w:rPr>
                <w:spacing w:val="-7"/>
                <w:sz w:val="21"/>
              </w:rPr>
              <w:t>总结较好。</w:t>
            </w:r>
          </w:p>
        </w:tc>
        <w:tc>
          <w:tcPr>
            <w:tcW w:w="896" w:type="dxa"/>
          </w:tcPr>
          <w:p>
            <w:pPr>
              <w:pStyle w:val="11"/>
              <w:spacing w:before="7"/>
              <w:rPr>
                <w:rFonts w:ascii="华文中宋"/>
                <w:b/>
                <w:sz w:val="20"/>
              </w:rPr>
            </w:pPr>
          </w:p>
          <w:p>
            <w:pPr>
              <w:pStyle w:val="11"/>
              <w:ind w:left="186" w:right="1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</w:tcPr>
          <w:p>
            <w:pPr>
              <w:pStyle w:val="11"/>
              <w:spacing w:before="109"/>
              <w:ind w:left="1465" w:right="1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研究方法及进度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66"/>
              <w:ind w:left="108"/>
              <w:rPr>
                <w:sz w:val="21"/>
              </w:rPr>
            </w:pPr>
            <w:r>
              <w:rPr>
                <w:sz w:val="21"/>
              </w:rPr>
              <w:t>1.研究方法的科学性、合理性；2.工作量适当，进度安排可行。</w:t>
            </w:r>
          </w:p>
        </w:tc>
        <w:tc>
          <w:tcPr>
            <w:tcW w:w="896" w:type="dxa"/>
          </w:tcPr>
          <w:p>
            <w:pPr>
              <w:pStyle w:val="11"/>
              <w:spacing w:before="123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</w:tcPr>
          <w:p>
            <w:pPr>
              <w:pStyle w:val="11"/>
              <w:spacing w:before="2"/>
              <w:rPr>
                <w:rFonts w:ascii="华文中宋"/>
                <w:b/>
                <w:sz w:val="14"/>
              </w:rPr>
            </w:pPr>
          </w:p>
          <w:p>
            <w:pPr>
              <w:pStyle w:val="11"/>
              <w:ind w:left="1465" w:right="1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论文开题情况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1.按时完成开题报告；2.开题报告的设计目的明确，依据充分，研究内容范围合</w:t>
            </w:r>
          </w:p>
          <w:p>
            <w:pPr>
              <w:pStyle w:val="11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适，重点突出，方法得当，表达清晰，预期目标明确。</w:t>
            </w:r>
          </w:p>
        </w:tc>
        <w:tc>
          <w:tcPr>
            <w:tcW w:w="896" w:type="dxa"/>
          </w:tcPr>
          <w:p>
            <w:pPr>
              <w:pStyle w:val="11"/>
              <w:rPr>
                <w:rFonts w:ascii="华文中宋"/>
                <w:b/>
                <w:sz w:val="15"/>
              </w:rPr>
            </w:pPr>
          </w:p>
          <w:p>
            <w:pPr>
              <w:pStyle w:val="11"/>
              <w:ind w:left="186" w:right="1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66" w:type="dxa"/>
            <w:vMerge w:val="restart"/>
          </w:tcPr>
          <w:p>
            <w:pPr>
              <w:pStyle w:val="11"/>
              <w:spacing w:before="116" w:line="355" w:lineRule="auto"/>
              <w:ind w:left="261" w:right="142" w:hanging="10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科研能力及</w:t>
            </w:r>
            <w:r>
              <w:rPr>
                <w:b/>
                <w:sz w:val="21"/>
              </w:rPr>
              <w:t>实践环节</w:t>
            </w:r>
            <w:r>
              <w:rPr>
                <w:b/>
                <w:w w:val="99"/>
                <w:sz w:val="21"/>
              </w:rPr>
              <w:t xml:space="preserve"> </w:t>
            </w:r>
          </w:p>
          <w:p>
            <w:pPr>
              <w:pStyle w:val="11"/>
              <w:spacing w:before="3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（</w:t>
            </w:r>
            <w:r>
              <w:rPr>
                <w:rFonts w:ascii="Times New Roman" w:eastAsia="Times New Roman"/>
                <w:b/>
                <w:sz w:val="21"/>
              </w:rPr>
              <w:t>20</w:t>
            </w:r>
            <w:r>
              <w:rPr>
                <w:rFonts w:ascii="Times New Roman" w:eastAsia="Times New Roman"/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分）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4342" w:type="dxa"/>
          </w:tcPr>
          <w:p>
            <w:pPr>
              <w:pStyle w:val="11"/>
              <w:spacing w:before="3"/>
              <w:rPr>
                <w:rFonts w:ascii="华文中宋"/>
                <w:b/>
                <w:sz w:val="13"/>
              </w:rPr>
            </w:pPr>
          </w:p>
          <w:p>
            <w:pPr>
              <w:pStyle w:val="11"/>
              <w:ind w:left="1465" w:right="1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科研能力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166"/>
              <w:ind w:left="108"/>
              <w:rPr>
                <w:sz w:val="21"/>
              </w:rPr>
            </w:pPr>
            <w:r>
              <w:rPr>
                <w:sz w:val="21"/>
              </w:rPr>
              <w:t>1.能独立从事科学研究；2.在校期间发表论文质量、获奖和专利情况。</w:t>
            </w:r>
          </w:p>
        </w:tc>
        <w:tc>
          <w:tcPr>
            <w:tcW w:w="896" w:type="dxa"/>
          </w:tcPr>
          <w:p>
            <w:pPr>
              <w:pStyle w:val="11"/>
              <w:spacing w:before="1"/>
              <w:rPr>
                <w:rFonts w:ascii="华文中宋"/>
                <w:b/>
                <w:sz w:val="14"/>
              </w:rPr>
            </w:pPr>
          </w:p>
          <w:p>
            <w:pPr>
              <w:pStyle w:val="11"/>
              <w:ind w:left="186" w:right="17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</w:tcPr>
          <w:p>
            <w:pPr>
              <w:pStyle w:val="11"/>
              <w:spacing w:before="4"/>
              <w:rPr>
                <w:rFonts w:ascii="华文中宋"/>
                <w:b/>
                <w:sz w:val="13"/>
              </w:rPr>
            </w:pPr>
          </w:p>
          <w:p>
            <w:pPr>
              <w:pStyle w:val="11"/>
              <w:ind w:left="1465" w:right="13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实践环节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7513" w:type="dxa"/>
          </w:tcPr>
          <w:p>
            <w:pPr>
              <w:pStyle w:val="11"/>
              <w:spacing w:before="167"/>
              <w:ind w:left="108"/>
              <w:rPr>
                <w:sz w:val="21"/>
              </w:rPr>
            </w:pPr>
            <w:r>
              <w:rPr>
                <w:sz w:val="21"/>
              </w:rPr>
              <w:t>培养方案规定的实践环节完成情况及效果。</w:t>
            </w:r>
          </w:p>
        </w:tc>
        <w:tc>
          <w:tcPr>
            <w:tcW w:w="896" w:type="dxa"/>
          </w:tcPr>
          <w:p>
            <w:pPr>
              <w:pStyle w:val="11"/>
              <w:spacing w:before="2"/>
              <w:rPr>
                <w:rFonts w:ascii="华文中宋"/>
                <w:b/>
                <w:sz w:val="14"/>
              </w:rPr>
            </w:pPr>
          </w:p>
          <w:p>
            <w:pPr>
              <w:pStyle w:val="11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66" w:type="dxa"/>
          </w:tcPr>
          <w:p>
            <w:pPr>
              <w:pStyle w:val="11"/>
              <w:spacing w:before="113"/>
              <w:ind w:left="261"/>
              <w:rPr>
                <w:b/>
                <w:sz w:val="21"/>
              </w:rPr>
            </w:pPr>
            <w:r>
              <w:rPr>
                <w:b/>
                <w:sz w:val="21"/>
              </w:rPr>
              <w:t>考评得分</w:t>
            </w:r>
          </w:p>
        </w:tc>
        <w:tc>
          <w:tcPr>
            <w:tcW w:w="12751" w:type="dxa"/>
            <w:gridSpan w:val="3"/>
          </w:tcPr>
          <w:p>
            <w:pPr>
              <w:pStyle w:val="11"/>
              <w:spacing w:before="113"/>
              <w:ind w:left="107"/>
              <w:rPr>
                <w:sz w:val="21"/>
              </w:rPr>
            </w:pPr>
            <w:r>
              <w:rPr>
                <w:sz w:val="21"/>
              </w:rPr>
              <w:t xml:space="preserve">备注：各项得分总和为 </w:t>
            </w: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66" w:type="dxa"/>
          </w:tcPr>
          <w:p>
            <w:pPr>
              <w:pStyle w:val="11"/>
              <w:spacing w:before="178"/>
              <w:ind w:left="261"/>
              <w:rPr>
                <w:b/>
                <w:sz w:val="21"/>
              </w:rPr>
            </w:pPr>
            <w:r>
              <w:rPr>
                <w:b/>
                <w:sz w:val="21"/>
              </w:rPr>
              <w:t>考评结果</w:t>
            </w:r>
          </w:p>
        </w:tc>
        <w:tc>
          <w:tcPr>
            <w:tcW w:w="12751" w:type="dxa"/>
            <w:gridSpan w:val="3"/>
          </w:tcPr>
          <w:p>
            <w:pPr>
              <w:pStyle w:val="11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  <w:r>
              <w:rPr>
                <w:rFonts w:ascii="Times New Roman" w:eastAsia="Times New Roman"/>
                <w:sz w:val="21"/>
              </w:rPr>
              <w:t xml:space="preserve">60 </w:t>
            </w:r>
            <w:r>
              <w:rPr>
                <w:sz w:val="21"/>
              </w:rPr>
              <w:t xml:space="preserve">及 </w:t>
            </w:r>
            <w:r>
              <w:rPr>
                <w:rFonts w:ascii="Times New Roman" w:eastAsia="Times New Roman"/>
                <w:sz w:val="21"/>
              </w:rPr>
              <w:t xml:space="preserve">60 </w:t>
            </w:r>
            <w:r>
              <w:rPr>
                <w:sz w:val="21"/>
              </w:rPr>
              <w:t>分以上为通过</w:t>
            </w:r>
          </w:p>
        </w:tc>
      </w:tr>
    </w:tbl>
    <w:p/>
    <w:sectPr>
      <w:footerReference r:id="rId4" w:type="default"/>
      <w:pgSz w:w="16840" w:h="11910" w:orient="landscape"/>
      <w:pgMar w:top="700" w:right="1240" w:bottom="1160" w:left="1240" w:header="0" w:footer="96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w:pict>
        <v:shape id="_x0000_s1026" o:spid="_x0000_s1026" o:spt="202" type="#_x0000_t202" style="position:absolute;left:0pt;margin-left:293.45pt;margin-top:782.5pt;height:12.6pt;width:11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51" w:lineRule="exact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 w:firstLine="0"/>
      <w:rPr>
        <w:sz w:val="20"/>
      </w:rPr>
    </w:pPr>
    <w:r>
      <w:pict>
        <v:shape id="_x0000_s1025" o:spid="_x0000_s1025" o:spt="202" type="#_x0000_t202" style="position:absolute;left:0pt;margin-left:417.4pt;margin-top:535.9pt;height:12.6pt;width: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51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3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B4105A"/>
    <w:rsid w:val="00041965"/>
    <w:rsid w:val="0073160E"/>
    <w:rsid w:val="00794D46"/>
    <w:rsid w:val="00AD3891"/>
    <w:rsid w:val="00B4105A"/>
    <w:rsid w:val="00DF3A27"/>
    <w:rsid w:val="17F87895"/>
    <w:rsid w:val="1FB901B6"/>
    <w:rsid w:val="240A11B8"/>
    <w:rsid w:val="3F7E7CE7"/>
    <w:rsid w:val="5A691622"/>
    <w:rsid w:val="74AA5441"/>
    <w:rsid w:val="7E2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 w:firstLine="640"/>
    </w:pPr>
    <w:rPr>
      <w:sz w:val="32"/>
      <w:szCs w:val="32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spacing w:before="41"/>
      <w:ind w:left="1419" w:right="1584"/>
      <w:jc w:val="center"/>
      <w:outlineLvl w:val="1"/>
    </w:pPr>
    <w:rPr>
      <w:rFonts w:ascii="华文中宋" w:hAnsi="华文中宋" w:eastAsia="华文中宋" w:cs="华文中宋"/>
      <w:b/>
      <w:bCs/>
      <w:sz w:val="36"/>
      <w:szCs w:val="36"/>
    </w:rPr>
  </w:style>
  <w:style w:type="paragraph" w:customStyle="1" w:styleId="9">
    <w:name w:val="Heading 2"/>
    <w:basedOn w:val="1"/>
    <w:qFormat/>
    <w:uiPriority w:val="1"/>
    <w:pPr>
      <w:spacing w:line="491" w:lineRule="exact"/>
      <w:ind w:left="750"/>
      <w:outlineLvl w:val="2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10">
    <w:name w:val="List Paragraph"/>
    <w:basedOn w:val="1"/>
    <w:qFormat/>
    <w:uiPriority w:val="1"/>
    <w:pPr>
      <w:spacing w:before="3"/>
      <w:ind w:left="106" w:firstLine="64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6"/>
    <w:link w:val="4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3">
    <w:name w:val="页脚 Char"/>
    <w:basedOn w:val="6"/>
    <w:link w:val="3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289</Words>
  <Characters>1650</Characters>
  <Lines>13</Lines>
  <Paragraphs>3</Paragraphs>
  <TotalTime>2</TotalTime>
  <ScaleCrop>false</ScaleCrop>
  <LinksUpToDate>false</LinksUpToDate>
  <CharactersWithSpaces>1936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2019-12-05T01:17:00Z</dcterms:created>
  <dc:creator>gjm</dc:creator>
  <cp:lastModifiedBy>王力</cp:lastModifiedBy>
  <dcterms:modified xsi:type="dcterms:W3CDTF">2021-12-01T05:36:36Z</dcterms:modified>
  <dc:title>西北师范大学研究生中期考核暂行办法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2019-12-05T00:00:00Z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21173DDE00934DB294C51678EFC51159</vt:lpwstr>
  </property>
</Properties>
</file>